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0C4FCB66" w:rsidR="003552DE" w:rsidRPr="00B506F0" w:rsidRDefault="00B433C3" w:rsidP="00B433C3">
      <w:pPr>
        <w:spacing w:after="36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B506F0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AF4F0E" w:rsidRPr="00B506F0">
        <w:rPr>
          <w:rFonts w:eastAsia="Lucida Sans Unicode"/>
          <w:kern w:val="3"/>
          <w:sz w:val="22"/>
          <w:szCs w:val="22"/>
          <w:lang w:eastAsia="zh-CN"/>
        </w:rPr>
        <w:t>2</w:t>
      </w:r>
      <w:r w:rsidR="00AF48A9" w:rsidRPr="00B506F0">
        <w:rPr>
          <w:rFonts w:eastAsia="Lucida Sans Unicode"/>
          <w:kern w:val="3"/>
          <w:sz w:val="22"/>
          <w:szCs w:val="22"/>
          <w:lang w:eastAsia="zh-CN"/>
        </w:rPr>
        <w:t>1.11</w:t>
      </w:r>
      <w:r w:rsidR="00026749" w:rsidRPr="00B506F0">
        <w:rPr>
          <w:rFonts w:eastAsia="Lucida Sans Unicode"/>
          <w:kern w:val="3"/>
          <w:sz w:val="22"/>
          <w:szCs w:val="22"/>
          <w:lang w:eastAsia="zh-CN"/>
        </w:rPr>
        <w:t>.2024</w:t>
      </w:r>
      <w:r w:rsidRPr="00B506F0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B506F0" w:rsidRDefault="00493038" w:rsidP="00A66EE2">
      <w:pPr>
        <w:ind w:left="5387" w:right="17" w:hanging="709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B506F0">
        <w:rPr>
          <w:rFonts w:eastAsia="Lucida Sans Unicode"/>
          <w:b/>
          <w:bCs/>
          <w:kern w:val="3"/>
          <w:sz w:val="22"/>
          <w:szCs w:val="22"/>
          <w:lang w:eastAsia="zh-CN"/>
        </w:rPr>
        <w:t>Do w</w:t>
      </w:r>
      <w:r w:rsidR="003552DE" w:rsidRPr="00B506F0">
        <w:rPr>
          <w:rFonts w:eastAsia="Lucida Sans Unicode"/>
          <w:b/>
          <w:bCs/>
          <w:kern w:val="3"/>
          <w:sz w:val="22"/>
          <w:szCs w:val="22"/>
          <w:lang w:eastAsia="zh-CN"/>
        </w:rPr>
        <w:t>szys</w:t>
      </w:r>
      <w:r w:rsidRPr="00B506F0">
        <w:rPr>
          <w:rFonts w:eastAsia="Lucida Sans Unicode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B506F0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B506F0" w:rsidRDefault="00493038" w:rsidP="003552DE">
      <w:pPr>
        <w:spacing w:after="120"/>
        <w:ind w:right="15" w:firstLine="4678"/>
        <w:rPr>
          <w:i/>
          <w:sz w:val="22"/>
          <w:szCs w:val="22"/>
        </w:rPr>
      </w:pPr>
      <w:r w:rsidRPr="00B506F0">
        <w:rPr>
          <w:rFonts w:eastAsia="Lucida Sans Unicode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B506F0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06DDCA84" w14:textId="77777777" w:rsidR="00D07FD9" w:rsidRPr="00B506F0" w:rsidRDefault="00D07FD9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193DD6F2" w14:textId="77777777" w:rsidR="00AF48A9" w:rsidRPr="00B506F0" w:rsidRDefault="003552DE" w:rsidP="00AF48A9">
      <w:pPr>
        <w:spacing w:before="240"/>
        <w:jc w:val="both"/>
        <w:rPr>
          <w:sz w:val="22"/>
          <w:szCs w:val="22"/>
        </w:rPr>
      </w:pPr>
      <w:r w:rsidRPr="00B506F0">
        <w:rPr>
          <w:sz w:val="22"/>
          <w:szCs w:val="22"/>
        </w:rPr>
        <w:t xml:space="preserve">Dotyczy: </w:t>
      </w:r>
      <w:r w:rsidRPr="00B506F0">
        <w:rPr>
          <w:sz w:val="22"/>
          <w:szCs w:val="22"/>
        </w:rPr>
        <w:tab/>
      </w:r>
    </w:p>
    <w:p w14:paraId="5782760C" w14:textId="2C42C9A0" w:rsidR="00AF48A9" w:rsidRPr="00B506F0" w:rsidRDefault="003552DE" w:rsidP="00AF48A9">
      <w:pPr>
        <w:spacing w:before="240"/>
        <w:jc w:val="both"/>
        <w:rPr>
          <w:kern w:val="0"/>
          <w:sz w:val="22"/>
          <w:szCs w:val="22"/>
          <w:lang w:eastAsia="pl-PL"/>
        </w:rPr>
      </w:pPr>
      <w:r w:rsidRPr="00B506F0">
        <w:rPr>
          <w:sz w:val="22"/>
          <w:szCs w:val="22"/>
        </w:rPr>
        <w:t xml:space="preserve">postępowania o udzielenie zamówienia publicznego w trybie podstawowym </w:t>
      </w:r>
      <w:r w:rsidR="00026749" w:rsidRPr="00B506F0">
        <w:rPr>
          <w:sz w:val="22"/>
          <w:szCs w:val="22"/>
        </w:rPr>
        <w:t xml:space="preserve">pn.: </w:t>
      </w:r>
      <w:r w:rsidR="00026749" w:rsidRPr="00B506F0">
        <w:rPr>
          <w:sz w:val="22"/>
          <w:szCs w:val="22"/>
        </w:rPr>
        <w:br/>
      </w:r>
      <w:r w:rsidR="00AF48A9" w:rsidRPr="00B506F0">
        <w:rPr>
          <w:b/>
          <w:kern w:val="0"/>
          <w:sz w:val="22"/>
          <w:szCs w:val="22"/>
          <w:lang w:eastAsia="pl-PL"/>
        </w:rPr>
        <w:t>„</w:t>
      </w:r>
      <w:r w:rsidR="00AF48A9" w:rsidRPr="00B506F0">
        <w:rPr>
          <w:rFonts w:eastAsia="Lucida Sans Unicode"/>
          <w:b/>
          <w:bCs/>
          <w:kern w:val="3"/>
          <w:sz w:val="22"/>
          <w:szCs w:val="22"/>
          <w:lang w:eastAsia="zh-CN"/>
        </w:rPr>
        <w:t>Rozbudowa wewnętrznej instalacji gazu wraz z przebudową kotłowni w budynku ośrodka kultury, na parceli nr 2000/304 ( obecnie nr 2720) zlokalizowanej w Mszanie przy ul. Adama Mickiewicza 92 ”</w:t>
      </w:r>
      <w:r w:rsidR="00AF48A9" w:rsidRPr="00B506F0">
        <w:rPr>
          <w:i/>
          <w:kern w:val="0"/>
          <w:sz w:val="22"/>
          <w:szCs w:val="22"/>
          <w:lang w:eastAsia="pl-PL"/>
        </w:rPr>
        <w:t xml:space="preserve">, </w:t>
      </w:r>
      <w:r w:rsidR="00AF48A9" w:rsidRPr="00B506F0">
        <w:rPr>
          <w:kern w:val="0"/>
          <w:sz w:val="22"/>
          <w:szCs w:val="22"/>
          <w:lang w:eastAsia="pl-PL"/>
        </w:rPr>
        <w:t>prowadzonym przez Gminę Mszana</w:t>
      </w:r>
      <w:r w:rsidR="00AF48A9" w:rsidRPr="00B506F0">
        <w:rPr>
          <w:i/>
          <w:kern w:val="0"/>
          <w:sz w:val="22"/>
          <w:szCs w:val="22"/>
          <w:lang w:eastAsia="pl-PL"/>
        </w:rPr>
        <w:t>.</w:t>
      </w:r>
    </w:p>
    <w:p w14:paraId="1FD09DE1" w14:textId="42F78CE4" w:rsidR="00D07FD9" w:rsidRPr="00B506F0" w:rsidRDefault="00D07FD9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b/>
          <w:bCs/>
          <w:sz w:val="22"/>
          <w:szCs w:val="22"/>
        </w:rPr>
      </w:pPr>
    </w:p>
    <w:p w14:paraId="76EC5CC8" w14:textId="4AA96908" w:rsidR="003552DE" w:rsidRPr="00B506F0" w:rsidRDefault="00C5660D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b/>
          <w:bCs/>
          <w:sz w:val="22"/>
          <w:szCs w:val="22"/>
        </w:rPr>
      </w:pPr>
      <w:r w:rsidRPr="00B506F0">
        <w:rPr>
          <w:b/>
          <w:bCs/>
          <w:sz w:val="22"/>
          <w:szCs w:val="22"/>
        </w:rPr>
        <w:t>Modyfikacja</w:t>
      </w:r>
      <w:r w:rsidR="003552DE" w:rsidRPr="00B506F0">
        <w:rPr>
          <w:b/>
          <w:bCs/>
          <w:sz w:val="22"/>
          <w:szCs w:val="22"/>
        </w:rPr>
        <w:t xml:space="preserve"> </w:t>
      </w:r>
      <w:r w:rsidR="00C04D61" w:rsidRPr="00B506F0">
        <w:rPr>
          <w:b/>
          <w:bCs/>
          <w:sz w:val="22"/>
          <w:szCs w:val="22"/>
        </w:rPr>
        <w:t xml:space="preserve">treści </w:t>
      </w:r>
      <w:r w:rsidR="003552DE" w:rsidRPr="00B506F0">
        <w:rPr>
          <w:b/>
          <w:bCs/>
          <w:sz w:val="22"/>
          <w:szCs w:val="22"/>
        </w:rPr>
        <w:t>SWZ</w:t>
      </w:r>
      <w:r w:rsidR="00C04D61" w:rsidRPr="00B506F0">
        <w:rPr>
          <w:b/>
          <w:bCs/>
          <w:sz w:val="22"/>
          <w:szCs w:val="22"/>
        </w:rPr>
        <w:t xml:space="preserve"> </w:t>
      </w:r>
      <w:r w:rsidR="007033E8" w:rsidRPr="00B506F0">
        <w:rPr>
          <w:b/>
          <w:bCs/>
          <w:sz w:val="22"/>
          <w:szCs w:val="22"/>
        </w:rPr>
        <w:t xml:space="preserve">nr </w:t>
      </w:r>
      <w:r w:rsidR="00117C07" w:rsidRPr="00B506F0">
        <w:rPr>
          <w:b/>
          <w:bCs/>
          <w:sz w:val="22"/>
          <w:szCs w:val="22"/>
        </w:rPr>
        <w:t>1</w:t>
      </w:r>
    </w:p>
    <w:p w14:paraId="008DF366" w14:textId="77777777" w:rsidR="00D07FD9" w:rsidRPr="00B506F0" w:rsidRDefault="00D07FD9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b/>
          <w:bCs/>
          <w:sz w:val="22"/>
          <w:szCs w:val="22"/>
        </w:rPr>
      </w:pPr>
    </w:p>
    <w:p w14:paraId="52C3AEDA" w14:textId="58BA6836" w:rsidR="00C62B95" w:rsidRPr="00B506F0" w:rsidRDefault="00493038" w:rsidP="00026749">
      <w:pPr>
        <w:tabs>
          <w:tab w:val="left" w:pos="1080"/>
        </w:tabs>
        <w:spacing w:after="240" w:line="276" w:lineRule="auto"/>
        <w:jc w:val="both"/>
        <w:rPr>
          <w:sz w:val="22"/>
          <w:szCs w:val="22"/>
        </w:rPr>
      </w:pPr>
      <w:r w:rsidRPr="00B506F0">
        <w:rPr>
          <w:sz w:val="22"/>
          <w:szCs w:val="22"/>
        </w:rPr>
        <w:t>Zamawiający – Gmina Mszana, d</w:t>
      </w:r>
      <w:r w:rsidR="004A6192" w:rsidRPr="00B506F0">
        <w:rPr>
          <w:sz w:val="22"/>
          <w:szCs w:val="22"/>
        </w:rPr>
        <w:t>ziałając na podstawie art. 28</w:t>
      </w:r>
      <w:r w:rsidR="00C5660D" w:rsidRPr="00B506F0">
        <w:rPr>
          <w:sz w:val="22"/>
          <w:szCs w:val="22"/>
        </w:rPr>
        <w:t>6</w:t>
      </w:r>
      <w:r w:rsidR="004A6192" w:rsidRPr="00B506F0">
        <w:rPr>
          <w:sz w:val="22"/>
          <w:szCs w:val="22"/>
        </w:rPr>
        <w:t xml:space="preserve"> ust. </w:t>
      </w:r>
      <w:r w:rsidR="00C5660D" w:rsidRPr="00B506F0">
        <w:rPr>
          <w:sz w:val="22"/>
          <w:szCs w:val="22"/>
        </w:rPr>
        <w:t>1</w:t>
      </w:r>
      <w:r w:rsidR="004A6192" w:rsidRPr="00B506F0">
        <w:rPr>
          <w:sz w:val="22"/>
          <w:szCs w:val="22"/>
        </w:rPr>
        <w:t xml:space="preserve"> ustawy z dnia 11 września 2019r. Prawo zamówień publicznych (</w:t>
      </w:r>
      <w:proofErr w:type="spellStart"/>
      <w:r w:rsidR="004A6192" w:rsidRPr="00B506F0">
        <w:rPr>
          <w:sz w:val="22"/>
          <w:szCs w:val="22"/>
        </w:rPr>
        <w:t>t.j</w:t>
      </w:r>
      <w:proofErr w:type="spellEnd"/>
      <w:r w:rsidR="004A6192" w:rsidRPr="00B506F0">
        <w:rPr>
          <w:sz w:val="22"/>
          <w:szCs w:val="22"/>
        </w:rPr>
        <w:t>. Dz. U. z 202</w:t>
      </w:r>
      <w:r w:rsidR="00E15BD4" w:rsidRPr="00B506F0">
        <w:rPr>
          <w:sz w:val="22"/>
          <w:szCs w:val="22"/>
        </w:rPr>
        <w:t>4</w:t>
      </w:r>
      <w:r w:rsidR="004A6192" w:rsidRPr="00B506F0">
        <w:rPr>
          <w:sz w:val="22"/>
          <w:szCs w:val="22"/>
        </w:rPr>
        <w:t>, poz. 1</w:t>
      </w:r>
      <w:r w:rsidR="00E15BD4" w:rsidRPr="00B506F0">
        <w:rPr>
          <w:sz w:val="22"/>
          <w:szCs w:val="22"/>
        </w:rPr>
        <w:t xml:space="preserve">320 </w:t>
      </w:r>
      <w:r w:rsidR="004A6192" w:rsidRPr="00B506F0">
        <w:rPr>
          <w:sz w:val="22"/>
          <w:szCs w:val="22"/>
        </w:rPr>
        <w:t xml:space="preserve"> z</w:t>
      </w:r>
      <w:r w:rsidR="00E15BD4" w:rsidRPr="00B506F0">
        <w:rPr>
          <w:sz w:val="22"/>
          <w:szCs w:val="22"/>
        </w:rPr>
        <w:t xml:space="preserve"> </w:t>
      </w:r>
      <w:proofErr w:type="spellStart"/>
      <w:r w:rsidR="00E15BD4" w:rsidRPr="00B506F0">
        <w:rPr>
          <w:sz w:val="22"/>
          <w:szCs w:val="22"/>
        </w:rPr>
        <w:t>późn</w:t>
      </w:r>
      <w:proofErr w:type="spellEnd"/>
      <w:r w:rsidR="00E15BD4" w:rsidRPr="00B506F0">
        <w:rPr>
          <w:sz w:val="22"/>
          <w:szCs w:val="22"/>
        </w:rPr>
        <w:t>.</w:t>
      </w:r>
      <w:r w:rsidR="004A6192" w:rsidRPr="00B506F0">
        <w:rPr>
          <w:sz w:val="22"/>
          <w:szCs w:val="22"/>
        </w:rPr>
        <w:t xml:space="preserve"> zm</w:t>
      </w:r>
      <w:r w:rsidR="00026749" w:rsidRPr="00B506F0">
        <w:rPr>
          <w:sz w:val="22"/>
          <w:szCs w:val="22"/>
        </w:rPr>
        <w:t>.</w:t>
      </w:r>
      <w:r w:rsidR="004A6192" w:rsidRPr="00B506F0">
        <w:rPr>
          <w:sz w:val="22"/>
          <w:szCs w:val="22"/>
        </w:rPr>
        <w:t xml:space="preserve">) </w:t>
      </w:r>
      <w:r w:rsidR="00C5660D" w:rsidRPr="00B506F0">
        <w:rPr>
          <w:sz w:val="22"/>
          <w:szCs w:val="22"/>
        </w:rPr>
        <w:t>dokonuje zmiany</w:t>
      </w:r>
      <w:r w:rsidR="002A60CB" w:rsidRPr="00B506F0">
        <w:rPr>
          <w:sz w:val="22"/>
          <w:szCs w:val="22"/>
        </w:rPr>
        <w:t xml:space="preserve"> </w:t>
      </w:r>
      <w:r w:rsidR="00DD18E1" w:rsidRPr="00B506F0">
        <w:rPr>
          <w:sz w:val="22"/>
          <w:szCs w:val="22"/>
        </w:rPr>
        <w:t>treści SWZ</w:t>
      </w:r>
      <w:r w:rsidR="00C5660D" w:rsidRPr="00B506F0">
        <w:rPr>
          <w:sz w:val="22"/>
          <w:szCs w:val="22"/>
        </w:rPr>
        <w:t xml:space="preserve"> </w:t>
      </w:r>
      <w:r w:rsidR="00066591" w:rsidRPr="00B506F0">
        <w:rPr>
          <w:sz w:val="22"/>
          <w:szCs w:val="22"/>
        </w:rPr>
        <w:br/>
      </w:r>
      <w:r w:rsidR="00C5660D" w:rsidRPr="00B506F0">
        <w:rPr>
          <w:sz w:val="22"/>
          <w:szCs w:val="22"/>
        </w:rPr>
        <w:t>w następującym zakresie</w:t>
      </w:r>
      <w:r w:rsidR="002A60CB" w:rsidRPr="00B506F0">
        <w:rPr>
          <w:sz w:val="22"/>
          <w:szCs w:val="22"/>
        </w:rPr>
        <w:t>:</w:t>
      </w:r>
    </w:p>
    <w:p w14:paraId="1597BA39" w14:textId="77777777" w:rsidR="000D5CDC" w:rsidRPr="00B506F0" w:rsidRDefault="000D5CDC" w:rsidP="00C134FF">
      <w:pPr>
        <w:jc w:val="both"/>
        <w:rPr>
          <w:b/>
          <w:bCs/>
          <w:sz w:val="22"/>
          <w:szCs w:val="22"/>
        </w:rPr>
      </w:pPr>
    </w:p>
    <w:p w14:paraId="5BC8F16C" w14:textId="32522D11" w:rsidR="00C134FF" w:rsidRPr="00B506F0" w:rsidRDefault="00C134FF" w:rsidP="00C134FF">
      <w:pPr>
        <w:jc w:val="both"/>
        <w:rPr>
          <w:b/>
          <w:bCs/>
          <w:sz w:val="22"/>
          <w:szCs w:val="22"/>
        </w:rPr>
      </w:pPr>
      <w:r w:rsidRPr="00B506F0">
        <w:rPr>
          <w:b/>
          <w:bCs/>
          <w:sz w:val="22"/>
          <w:szCs w:val="22"/>
        </w:rPr>
        <w:t>Zmiany dotyczące SWZ</w:t>
      </w:r>
    </w:p>
    <w:p w14:paraId="47DF8B07" w14:textId="77777777" w:rsidR="00C134FF" w:rsidRPr="00B506F0" w:rsidRDefault="00C134FF" w:rsidP="00C134FF">
      <w:pPr>
        <w:jc w:val="both"/>
        <w:rPr>
          <w:sz w:val="22"/>
          <w:szCs w:val="22"/>
        </w:rPr>
      </w:pPr>
    </w:p>
    <w:p w14:paraId="69EB85CE" w14:textId="74C707A9" w:rsidR="00123757" w:rsidRPr="00B506F0" w:rsidRDefault="00123757" w:rsidP="00AF48A9">
      <w:pPr>
        <w:pStyle w:val="Akapitzlist"/>
        <w:numPr>
          <w:ilvl w:val="0"/>
          <w:numId w:val="24"/>
        </w:numPr>
        <w:tabs>
          <w:tab w:val="left" w:pos="1080"/>
        </w:tabs>
        <w:spacing w:line="240" w:lineRule="auto"/>
        <w:jc w:val="both"/>
        <w:rPr>
          <w:rFonts w:ascii="Times New Roman" w:hAnsi="Times New Roman"/>
          <w:b/>
          <w:bCs/>
        </w:rPr>
      </w:pPr>
      <w:r w:rsidRPr="00B506F0">
        <w:rPr>
          <w:rFonts w:ascii="Times New Roman" w:hAnsi="Times New Roman"/>
          <w:b/>
          <w:bCs/>
        </w:rPr>
        <w:t xml:space="preserve">W rozdziale </w:t>
      </w:r>
      <w:r w:rsidR="00AF48A9" w:rsidRPr="00B506F0">
        <w:rPr>
          <w:rFonts w:ascii="Times New Roman" w:hAnsi="Times New Roman"/>
          <w:b/>
          <w:bCs/>
        </w:rPr>
        <w:t>I</w:t>
      </w:r>
      <w:r w:rsidR="00026749" w:rsidRPr="00B506F0">
        <w:rPr>
          <w:rFonts w:ascii="Times New Roman" w:hAnsi="Times New Roman"/>
          <w:b/>
          <w:bCs/>
        </w:rPr>
        <w:t>V.</w:t>
      </w:r>
      <w:r w:rsidRPr="00B506F0">
        <w:rPr>
          <w:rFonts w:ascii="Times New Roman" w:hAnsi="Times New Roman"/>
          <w:b/>
          <w:bCs/>
        </w:rPr>
        <w:t xml:space="preserve"> ust. </w:t>
      </w:r>
      <w:r w:rsidR="00AF48A9" w:rsidRPr="00B506F0">
        <w:rPr>
          <w:rFonts w:ascii="Times New Roman" w:hAnsi="Times New Roman"/>
          <w:b/>
          <w:bCs/>
        </w:rPr>
        <w:t>16</w:t>
      </w:r>
      <w:r w:rsidRPr="00B506F0">
        <w:rPr>
          <w:rFonts w:ascii="Times New Roman" w:hAnsi="Times New Roman"/>
          <w:b/>
          <w:bCs/>
        </w:rPr>
        <w:t xml:space="preserve"> otrzymuje następujące brzmienie:</w:t>
      </w:r>
    </w:p>
    <w:p w14:paraId="6B6BB2C3" w14:textId="77777777" w:rsidR="00AF48A9" w:rsidRPr="00B506F0" w:rsidRDefault="00AF48A9" w:rsidP="00AF48A9">
      <w:pPr>
        <w:pStyle w:val="Akapitzlist"/>
        <w:tabs>
          <w:tab w:val="left" w:pos="1080"/>
        </w:tabs>
        <w:spacing w:line="240" w:lineRule="auto"/>
        <w:ind w:left="426"/>
        <w:jc w:val="both"/>
        <w:rPr>
          <w:rFonts w:ascii="Times New Roman" w:hAnsi="Times New Roman"/>
          <w:b/>
          <w:bCs/>
        </w:rPr>
      </w:pPr>
    </w:p>
    <w:p w14:paraId="2F11A47C" w14:textId="7360BAE3" w:rsidR="00AF48A9" w:rsidRPr="00B506F0" w:rsidRDefault="00AF48A9" w:rsidP="00AF48A9">
      <w:pPr>
        <w:pStyle w:val="Akapitzlist"/>
        <w:tabs>
          <w:tab w:val="left" w:pos="1080"/>
        </w:tabs>
        <w:spacing w:line="240" w:lineRule="auto"/>
        <w:ind w:left="426"/>
        <w:jc w:val="both"/>
        <w:rPr>
          <w:rFonts w:ascii="Times New Roman" w:hAnsi="Times New Roman"/>
        </w:rPr>
      </w:pPr>
      <w:r w:rsidRPr="00B506F0">
        <w:rPr>
          <w:rFonts w:ascii="Times New Roman" w:hAnsi="Times New Roman"/>
        </w:rPr>
        <w:t xml:space="preserve">W niniejszym postępowaniu </w:t>
      </w:r>
      <w:r w:rsidRPr="00B506F0">
        <w:rPr>
          <w:rFonts w:ascii="Times New Roman" w:hAnsi="Times New Roman"/>
          <w:b/>
          <w:bCs/>
          <w:u w:val="single"/>
        </w:rPr>
        <w:t>nie wymaga się</w:t>
      </w:r>
      <w:r w:rsidRPr="00B506F0">
        <w:rPr>
          <w:rFonts w:ascii="Times New Roman" w:hAnsi="Times New Roman"/>
        </w:rPr>
        <w:t xml:space="preserve"> wniesienia wadium</w:t>
      </w:r>
    </w:p>
    <w:p w14:paraId="531EDB19" w14:textId="77777777" w:rsidR="00AF48A9" w:rsidRPr="00B506F0" w:rsidRDefault="00AF48A9" w:rsidP="00AF48A9">
      <w:pPr>
        <w:pStyle w:val="Akapitzlist"/>
        <w:tabs>
          <w:tab w:val="left" w:pos="1080"/>
        </w:tabs>
        <w:spacing w:line="240" w:lineRule="auto"/>
        <w:ind w:left="426"/>
        <w:jc w:val="both"/>
        <w:rPr>
          <w:rFonts w:ascii="Times New Roman" w:hAnsi="Times New Roman"/>
        </w:rPr>
      </w:pPr>
    </w:p>
    <w:p w14:paraId="1E6CDEB4" w14:textId="77777777" w:rsidR="00AF48A9" w:rsidRPr="00B506F0" w:rsidRDefault="00AF48A9" w:rsidP="00AF48A9">
      <w:pPr>
        <w:pStyle w:val="Akapitzlist"/>
        <w:tabs>
          <w:tab w:val="left" w:pos="1080"/>
        </w:tabs>
        <w:spacing w:line="240" w:lineRule="auto"/>
        <w:ind w:left="426"/>
        <w:jc w:val="both"/>
        <w:rPr>
          <w:rFonts w:ascii="Times New Roman" w:hAnsi="Times New Roman"/>
        </w:rPr>
      </w:pPr>
    </w:p>
    <w:p w14:paraId="2A36FB0D" w14:textId="4C9F382C" w:rsidR="00AF48A9" w:rsidRPr="00B506F0" w:rsidRDefault="00AF48A9" w:rsidP="00AF48A9">
      <w:pPr>
        <w:pStyle w:val="Akapitzlist"/>
        <w:numPr>
          <w:ilvl w:val="0"/>
          <w:numId w:val="24"/>
        </w:numPr>
        <w:tabs>
          <w:tab w:val="left" w:pos="1080"/>
        </w:tabs>
        <w:jc w:val="both"/>
        <w:rPr>
          <w:rFonts w:ascii="Times New Roman" w:hAnsi="Times New Roman"/>
          <w:b/>
          <w:bCs/>
        </w:rPr>
      </w:pPr>
      <w:r w:rsidRPr="00B506F0">
        <w:rPr>
          <w:rFonts w:ascii="Times New Roman" w:hAnsi="Times New Roman"/>
          <w:b/>
          <w:bCs/>
        </w:rPr>
        <w:t>W rozdziale XIV wykreśla się ust. 4:</w:t>
      </w:r>
    </w:p>
    <w:p w14:paraId="399E8C52" w14:textId="77777777" w:rsidR="00AF48A9" w:rsidRPr="00B506F0" w:rsidRDefault="00AF48A9" w:rsidP="00AF48A9">
      <w:pPr>
        <w:pStyle w:val="Akapitzlist"/>
        <w:tabs>
          <w:tab w:val="left" w:pos="1080"/>
        </w:tabs>
        <w:spacing w:line="240" w:lineRule="auto"/>
        <w:ind w:left="426"/>
        <w:jc w:val="both"/>
        <w:rPr>
          <w:rFonts w:ascii="Times New Roman" w:hAnsi="Times New Roman"/>
        </w:rPr>
      </w:pPr>
    </w:p>
    <w:p w14:paraId="0AD4358C" w14:textId="77777777" w:rsidR="00AF48A9" w:rsidRPr="00B506F0" w:rsidRDefault="00AF48A9" w:rsidP="00AF48A9">
      <w:pPr>
        <w:numPr>
          <w:ilvl w:val="0"/>
          <w:numId w:val="25"/>
        </w:numPr>
        <w:suppressAutoHyphens w:val="0"/>
        <w:overflowPunct/>
        <w:autoSpaceDE/>
        <w:spacing w:after="120" w:line="259" w:lineRule="auto"/>
        <w:ind w:left="403" w:hanging="403"/>
        <w:jc w:val="both"/>
        <w:textAlignment w:val="auto"/>
        <w:rPr>
          <w:rFonts w:eastAsia="Calibri"/>
          <w:kern w:val="2"/>
          <w:sz w:val="22"/>
          <w:szCs w:val="22"/>
          <w:lang w:eastAsia="en-US"/>
        </w:rPr>
      </w:pPr>
      <w:r w:rsidRPr="00B506F0">
        <w:rPr>
          <w:rFonts w:eastAsia="Calibri"/>
          <w:kern w:val="2"/>
          <w:sz w:val="22"/>
          <w:szCs w:val="22"/>
          <w:lang w:eastAsia="en-US"/>
        </w:rPr>
        <w:t xml:space="preserve">Termin związania ofertą wynosi 30 dni, powyższe oznacza, iż Wykonawca jest związany ofertą do dnia </w:t>
      </w:r>
      <w:r w:rsidRPr="00B506F0">
        <w:rPr>
          <w:rFonts w:eastAsia="Calibri"/>
          <w:b/>
          <w:bCs/>
          <w:kern w:val="2"/>
          <w:sz w:val="22"/>
          <w:szCs w:val="22"/>
          <w:lang w:eastAsia="en-US"/>
        </w:rPr>
        <w:t>24.12.2024r.</w:t>
      </w:r>
      <w:r w:rsidRPr="00B506F0">
        <w:rPr>
          <w:rFonts w:eastAsia="Calibri"/>
          <w:kern w:val="2"/>
          <w:sz w:val="22"/>
          <w:szCs w:val="22"/>
          <w:lang w:eastAsia="en-US"/>
        </w:rPr>
        <w:t xml:space="preserve"> Bieg terminu związania ofertą rozpoczyna się od dnia upływu terminu składania ofert.</w:t>
      </w:r>
    </w:p>
    <w:p w14:paraId="0A16E9F2" w14:textId="77777777" w:rsidR="00AF48A9" w:rsidRPr="00B506F0" w:rsidRDefault="00AF48A9" w:rsidP="00AF48A9">
      <w:pPr>
        <w:numPr>
          <w:ilvl w:val="0"/>
          <w:numId w:val="25"/>
        </w:numPr>
        <w:suppressAutoHyphens w:val="0"/>
        <w:overflowPunct/>
        <w:autoSpaceDE/>
        <w:spacing w:after="120" w:line="259" w:lineRule="auto"/>
        <w:ind w:left="403" w:hanging="403"/>
        <w:jc w:val="both"/>
        <w:textAlignment w:val="auto"/>
        <w:rPr>
          <w:rFonts w:eastAsia="Calibri"/>
          <w:kern w:val="2"/>
          <w:sz w:val="22"/>
          <w:szCs w:val="22"/>
          <w:lang w:eastAsia="en-US"/>
        </w:rPr>
      </w:pPr>
      <w:r w:rsidRPr="00B506F0">
        <w:rPr>
          <w:rFonts w:eastAsia="Lucida Sans Unicode"/>
          <w:kern w:val="3"/>
          <w:sz w:val="22"/>
          <w:szCs w:val="22"/>
          <w:lang w:eastAsia="zh-CN"/>
        </w:rPr>
        <w:t xml:space="preserve">W przypadku, gdy wybór najkorzystniejszej oferty nie nastąpi przed upływem terminu związania ofertą określoną w dokumentach, zamawiający przed upływem terminu związania ofertą zwraca się jednokrotnie do wykonawców o wyrażenie zgody na przedłużenie tego terminu </w:t>
      </w:r>
      <w:r w:rsidRPr="00B506F0">
        <w:rPr>
          <w:rFonts w:eastAsia="Lucida Sans Unicode"/>
          <w:kern w:val="3"/>
          <w:sz w:val="22"/>
          <w:szCs w:val="22"/>
          <w:lang w:eastAsia="zh-CN"/>
        </w:rPr>
        <w:br/>
        <w:t>o wskazany przez niego okres, nie dłuższy jednak niż 30 dni.</w:t>
      </w:r>
    </w:p>
    <w:p w14:paraId="2C19913A" w14:textId="77777777" w:rsidR="00AF48A9" w:rsidRPr="00B506F0" w:rsidRDefault="00AF48A9" w:rsidP="00AF48A9">
      <w:pPr>
        <w:numPr>
          <w:ilvl w:val="0"/>
          <w:numId w:val="25"/>
        </w:numPr>
        <w:suppressAutoHyphens w:val="0"/>
        <w:overflowPunct/>
        <w:autoSpaceDE/>
        <w:spacing w:after="120" w:line="259" w:lineRule="auto"/>
        <w:ind w:left="403" w:hanging="403"/>
        <w:jc w:val="both"/>
        <w:textAlignment w:val="auto"/>
        <w:rPr>
          <w:rFonts w:eastAsia="Calibri"/>
          <w:kern w:val="2"/>
          <w:sz w:val="22"/>
          <w:szCs w:val="22"/>
          <w:lang w:eastAsia="en-US"/>
        </w:rPr>
      </w:pPr>
      <w:r w:rsidRPr="00B506F0">
        <w:rPr>
          <w:rFonts w:eastAsia="Lucida Sans Unicode"/>
          <w:kern w:val="3"/>
          <w:sz w:val="22"/>
          <w:szCs w:val="22"/>
          <w:lang w:eastAsia="zh-CN"/>
        </w:rPr>
        <w:t>Przedłużenie terminu związania ofertą, o którym mowa w ust. 2, wymaga złożenia przez wykonawcę pisemnego oświadczenia o wyrażeniu zgody na przedłużenie terminu związania ofertą</w:t>
      </w:r>
      <w:r w:rsidRPr="00B506F0">
        <w:rPr>
          <w:rFonts w:eastAsia="Calibri"/>
          <w:kern w:val="2"/>
          <w:sz w:val="22"/>
          <w:szCs w:val="22"/>
          <w:lang w:eastAsia="en-US"/>
        </w:rPr>
        <w:t>.</w:t>
      </w:r>
    </w:p>
    <w:p w14:paraId="6BE52D44" w14:textId="77777777" w:rsidR="00AF48A9" w:rsidRPr="00B506F0" w:rsidRDefault="00AF48A9" w:rsidP="00AF48A9">
      <w:pPr>
        <w:numPr>
          <w:ilvl w:val="0"/>
          <w:numId w:val="25"/>
        </w:numPr>
        <w:suppressAutoHyphens w:val="0"/>
        <w:overflowPunct/>
        <w:autoSpaceDE/>
        <w:spacing w:after="120" w:line="259" w:lineRule="auto"/>
        <w:ind w:left="403" w:hanging="403"/>
        <w:jc w:val="both"/>
        <w:textAlignment w:val="auto"/>
        <w:rPr>
          <w:rFonts w:eastAsia="Calibri"/>
          <w:strike/>
          <w:kern w:val="2"/>
          <w:sz w:val="22"/>
          <w:szCs w:val="22"/>
          <w:lang w:eastAsia="en-US"/>
        </w:rPr>
      </w:pPr>
      <w:r w:rsidRPr="00B506F0">
        <w:rPr>
          <w:rFonts w:eastAsia="Lucida Sans Unicode"/>
          <w:strike/>
          <w:kern w:val="3"/>
          <w:sz w:val="22"/>
          <w:szCs w:val="22"/>
          <w:lang w:eastAsia="zh-CN"/>
        </w:rPr>
        <w:t>Przedłużenie terminu związania ofertą, o którym mowa w pkt 1 następuje wraz z przedłużeniem okresu ważności wadium albo, jeżeli nie jest to możliwe, z wniesieniem nowego wadium na przedłużony okres związania ofertą.</w:t>
      </w:r>
    </w:p>
    <w:p w14:paraId="520689AE" w14:textId="77777777" w:rsidR="00AF48A9" w:rsidRPr="00B506F0" w:rsidRDefault="00AF48A9" w:rsidP="00AF48A9">
      <w:pPr>
        <w:numPr>
          <w:ilvl w:val="0"/>
          <w:numId w:val="25"/>
        </w:numPr>
        <w:suppressAutoHyphens w:val="0"/>
        <w:overflowPunct/>
        <w:autoSpaceDE/>
        <w:spacing w:after="240" w:line="259" w:lineRule="auto"/>
        <w:ind w:left="400" w:hanging="400"/>
        <w:jc w:val="both"/>
        <w:textAlignment w:val="auto"/>
        <w:rPr>
          <w:rFonts w:eastAsia="Calibri"/>
          <w:kern w:val="2"/>
          <w:sz w:val="22"/>
          <w:szCs w:val="22"/>
          <w:lang w:eastAsia="en-US"/>
        </w:rPr>
      </w:pPr>
      <w:r w:rsidRPr="00B506F0">
        <w:rPr>
          <w:rFonts w:eastAsia="Lucida Sans Unicode"/>
          <w:kern w:val="3"/>
          <w:sz w:val="22"/>
          <w:szCs w:val="22"/>
          <w:lang w:eastAsia="zh-CN"/>
        </w:rPr>
        <w:t xml:space="preserve">Na podstawie art. 226 ust. 1 pkt 12 ustawy </w:t>
      </w:r>
      <w:proofErr w:type="spellStart"/>
      <w:r w:rsidRPr="00B506F0">
        <w:rPr>
          <w:rFonts w:eastAsia="Lucida Sans Unicode"/>
          <w:kern w:val="3"/>
          <w:sz w:val="22"/>
          <w:szCs w:val="22"/>
          <w:lang w:eastAsia="zh-CN"/>
        </w:rPr>
        <w:t>Pzp</w:t>
      </w:r>
      <w:proofErr w:type="spellEnd"/>
      <w:r w:rsidRPr="00B506F0">
        <w:rPr>
          <w:rFonts w:eastAsia="Lucida Sans Unicode"/>
          <w:kern w:val="3"/>
          <w:sz w:val="22"/>
          <w:szCs w:val="22"/>
          <w:lang w:eastAsia="zh-CN"/>
        </w:rPr>
        <w:t xml:space="preserve"> zamawiający odrzuci ofertę, jeżeli wykonawca nie wyrazi pisemnej zgody na przedłużenie terminu związania ofertą.</w:t>
      </w:r>
    </w:p>
    <w:p w14:paraId="1E38F9CF" w14:textId="77777777" w:rsidR="00AF48A9" w:rsidRPr="00B506F0" w:rsidRDefault="00AF48A9" w:rsidP="00AF48A9">
      <w:pPr>
        <w:tabs>
          <w:tab w:val="left" w:pos="1080"/>
        </w:tabs>
        <w:jc w:val="both"/>
        <w:rPr>
          <w:sz w:val="22"/>
          <w:szCs w:val="22"/>
        </w:rPr>
      </w:pPr>
    </w:p>
    <w:p w14:paraId="6D756D04" w14:textId="387E7A8C" w:rsidR="00123757" w:rsidRPr="00B506F0" w:rsidRDefault="00123757" w:rsidP="00123757">
      <w:pPr>
        <w:widowControl w:val="0"/>
        <w:autoSpaceDN w:val="0"/>
        <w:spacing w:after="120" w:line="260" w:lineRule="atLeast"/>
        <w:jc w:val="both"/>
        <w:rPr>
          <w:sz w:val="22"/>
          <w:szCs w:val="22"/>
        </w:rPr>
      </w:pPr>
      <w:r w:rsidRPr="00B506F0">
        <w:rPr>
          <w:sz w:val="22"/>
          <w:szCs w:val="22"/>
        </w:rPr>
        <w:lastRenderedPageBreak/>
        <w:t xml:space="preserve">Zamawiający na podstawie art. 286 ust. </w:t>
      </w:r>
      <w:r w:rsidR="000E6C39" w:rsidRPr="00B506F0">
        <w:rPr>
          <w:sz w:val="22"/>
          <w:szCs w:val="22"/>
        </w:rPr>
        <w:t>7</w:t>
      </w:r>
      <w:r w:rsidRPr="00B506F0">
        <w:rPr>
          <w:sz w:val="22"/>
          <w:szCs w:val="22"/>
        </w:rPr>
        <w:t xml:space="preserve"> dokonaną zmianę udostępnia na stronie internetowej prowadzonego postępowania.</w:t>
      </w:r>
    </w:p>
    <w:p w14:paraId="4CE4216C" w14:textId="7C5265C7" w:rsidR="00123757" w:rsidRPr="00B506F0" w:rsidRDefault="00123757" w:rsidP="00123757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  <w:r w:rsidRPr="00B506F0">
        <w:rPr>
          <w:sz w:val="22"/>
          <w:szCs w:val="22"/>
        </w:rPr>
        <w:t xml:space="preserve">Wprowadzone zmiany stanowią integralną część SWZ i są wiążące dla wszystkich Wykonawców ubiegających się o udzielenie zamówienia. </w:t>
      </w:r>
    </w:p>
    <w:p w14:paraId="609E1FAA" w14:textId="2D31A67C" w:rsidR="00A64DE9" w:rsidRPr="00B506F0" w:rsidRDefault="00A64DE9" w:rsidP="00123757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0B60BFEE" w14:textId="7463B7DC" w:rsidR="00123757" w:rsidRPr="00B506F0" w:rsidRDefault="00123757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29B2B808" w14:textId="77777777" w:rsidR="00D07FD9" w:rsidRPr="00B506F0" w:rsidRDefault="00D07FD9" w:rsidP="00D07FD9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484AD2FD" w14:textId="3B62A512" w:rsidR="00D07FD9" w:rsidRPr="00B506F0" w:rsidRDefault="00D07FD9" w:rsidP="00D07FD9">
      <w:pPr>
        <w:tabs>
          <w:tab w:val="num" w:pos="540"/>
        </w:tabs>
        <w:spacing w:line="276" w:lineRule="auto"/>
        <w:ind w:left="5670" w:hanging="141"/>
        <w:rPr>
          <w:b/>
          <w:bCs/>
          <w:i/>
          <w:sz w:val="22"/>
          <w:szCs w:val="22"/>
        </w:rPr>
      </w:pPr>
      <w:r w:rsidRPr="00B506F0">
        <w:rPr>
          <w:b/>
          <w:bCs/>
          <w:i/>
          <w:sz w:val="22"/>
          <w:szCs w:val="22"/>
        </w:rPr>
        <w:t xml:space="preserve"> </w:t>
      </w:r>
      <w:r w:rsidR="00E15BD4" w:rsidRPr="00B506F0">
        <w:rPr>
          <w:b/>
          <w:bCs/>
          <w:i/>
          <w:sz w:val="22"/>
          <w:szCs w:val="22"/>
        </w:rPr>
        <w:t>Z</w:t>
      </w:r>
      <w:r w:rsidR="000E6C39" w:rsidRPr="00B506F0">
        <w:rPr>
          <w:b/>
          <w:bCs/>
          <w:i/>
          <w:sz w:val="22"/>
          <w:szCs w:val="22"/>
        </w:rPr>
        <w:t xml:space="preserve"> up.</w:t>
      </w:r>
      <w:r w:rsidR="00E15BD4" w:rsidRPr="00B506F0">
        <w:rPr>
          <w:b/>
          <w:bCs/>
          <w:i/>
          <w:sz w:val="22"/>
          <w:szCs w:val="22"/>
        </w:rPr>
        <w:t xml:space="preserve"> </w:t>
      </w:r>
      <w:r w:rsidRPr="00B506F0">
        <w:rPr>
          <w:b/>
          <w:bCs/>
          <w:i/>
          <w:sz w:val="22"/>
          <w:szCs w:val="22"/>
        </w:rPr>
        <w:t xml:space="preserve"> Wójt</w:t>
      </w:r>
      <w:r w:rsidR="00E15BD4" w:rsidRPr="00B506F0">
        <w:rPr>
          <w:b/>
          <w:bCs/>
          <w:i/>
          <w:sz w:val="22"/>
          <w:szCs w:val="22"/>
        </w:rPr>
        <w:t>a</w:t>
      </w:r>
      <w:r w:rsidRPr="00B506F0">
        <w:rPr>
          <w:b/>
          <w:bCs/>
          <w:i/>
          <w:sz w:val="22"/>
          <w:szCs w:val="22"/>
        </w:rPr>
        <w:t xml:space="preserve"> Gminy Mszana</w:t>
      </w:r>
    </w:p>
    <w:p w14:paraId="798D03B5" w14:textId="6FE7E6DB" w:rsidR="00D07FD9" w:rsidRPr="00B506F0" w:rsidRDefault="00D07FD9" w:rsidP="00D07FD9">
      <w:pPr>
        <w:tabs>
          <w:tab w:val="left" w:pos="7938"/>
        </w:tabs>
        <w:ind w:left="5245" w:hanging="283"/>
        <w:rPr>
          <w:b/>
          <w:bCs/>
          <w:i/>
          <w:sz w:val="22"/>
          <w:szCs w:val="22"/>
        </w:rPr>
      </w:pPr>
      <w:r w:rsidRPr="00B506F0">
        <w:rPr>
          <w:b/>
          <w:bCs/>
          <w:i/>
          <w:sz w:val="22"/>
          <w:szCs w:val="22"/>
        </w:rPr>
        <w:tab/>
      </w:r>
      <w:r w:rsidR="00E15BD4" w:rsidRPr="00B506F0">
        <w:rPr>
          <w:b/>
          <w:bCs/>
          <w:i/>
          <w:sz w:val="22"/>
          <w:szCs w:val="22"/>
        </w:rPr>
        <w:t xml:space="preserve">         </w:t>
      </w:r>
      <w:r w:rsidRPr="00B506F0">
        <w:rPr>
          <w:b/>
          <w:bCs/>
          <w:i/>
          <w:sz w:val="22"/>
          <w:szCs w:val="22"/>
        </w:rPr>
        <w:t>/-/ mgr</w:t>
      </w:r>
      <w:r w:rsidR="000E6C39" w:rsidRPr="00B506F0">
        <w:rPr>
          <w:b/>
          <w:bCs/>
          <w:i/>
          <w:sz w:val="22"/>
          <w:szCs w:val="22"/>
        </w:rPr>
        <w:t xml:space="preserve"> inż. </w:t>
      </w:r>
      <w:r w:rsidRPr="00B506F0">
        <w:rPr>
          <w:b/>
          <w:bCs/>
          <w:i/>
          <w:sz w:val="22"/>
          <w:szCs w:val="22"/>
        </w:rPr>
        <w:t xml:space="preserve"> </w:t>
      </w:r>
      <w:r w:rsidR="000E6C39" w:rsidRPr="00B506F0">
        <w:rPr>
          <w:b/>
          <w:bCs/>
          <w:i/>
          <w:sz w:val="22"/>
          <w:szCs w:val="22"/>
        </w:rPr>
        <w:t>Marek Małek</w:t>
      </w:r>
    </w:p>
    <w:p w14:paraId="3A9CDF83" w14:textId="77777777" w:rsidR="00E15BD4" w:rsidRPr="00B506F0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E1CBD96" w14:textId="77777777" w:rsidR="00E15BD4" w:rsidRPr="00B506F0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BBE8422" w14:textId="77777777" w:rsidR="00E15BD4" w:rsidRPr="00B506F0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6A96A931" w14:textId="77777777" w:rsidR="00E15BD4" w:rsidRPr="00B506F0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7574F21" w14:textId="77777777" w:rsidR="00E15BD4" w:rsidRPr="00B506F0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sectPr w:rsidR="00E15BD4" w:rsidRPr="00B506F0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E4871" w14:textId="77777777" w:rsidR="00073FCB" w:rsidRDefault="00073FCB" w:rsidP="00DA5839">
      <w:r>
        <w:separator/>
      </w:r>
    </w:p>
  </w:endnote>
  <w:endnote w:type="continuationSeparator" w:id="0">
    <w:p w14:paraId="3A82C924" w14:textId="77777777" w:rsidR="00073FCB" w:rsidRDefault="00073FC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CD732" w14:textId="77777777" w:rsidR="00073FCB" w:rsidRDefault="00073FCB" w:rsidP="00DA5839">
      <w:r>
        <w:separator/>
      </w:r>
    </w:p>
  </w:footnote>
  <w:footnote w:type="continuationSeparator" w:id="0">
    <w:p w14:paraId="4B2162AC" w14:textId="77777777" w:rsidR="00073FCB" w:rsidRDefault="00073FC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5A0A99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8201D">
      <w:rPr>
        <w:rFonts w:ascii="Tahoma" w:hAnsi="Tahoma" w:cs="Tahoma"/>
      </w:rPr>
      <w:t>1</w:t>
    </w:r>
    <w:r w:rsidR="000E6C39">
      <w:rPr>
        <w:rFonts w:ascii="Tahoma" w:hAnsi="Tahoma" w:cs="Tahoma"/>
      </w:rPr>
      <w:t>6</w:t>
    </w:r>
    <w:r w:rsidR="0098201D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bookmarkEnd w:id="0"/>
    <w:r w:rsidR="0098201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66EAD1AB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4A731E85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15BD4">
      <w:rPr>
        <w:rFonts w:ascii="Tahoma" w:hAnsi="Tahoma" w:cs="Tahoma"/>
      </w:rPr>
      <w:t>1</w:t>
    </w:r>
    <w:r w:rsidR="00AF48A9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026749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20EE0D82"/>
    <w:multiLevelType w:val="hybridMultilevel"/>
    <w:tmpl w:val="048A9C12"/>
    <w:lvl w:ilvl="0" w:tplc="DAC0B3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514A3B1E"/>
    <w:multiLevelType w:val="hybridMultilevel"/>
    <w:tmpl w:val="EA3C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6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8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52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1"/>
  </w:num>
  <w:num w:numId="3" w16cid:durableId="1630895151">
    <w:abstractNumId w:val="45"/>
  </w:num>
  <w:num w:numId="4" w16cid:durableId="492643633">
    <w:abstractNumId w:val="32"/>
  </w:num>
  <w:num w:numId="5" w16cid:durableId="1012339821">
    <w:abstractNumId w:val="36"/>
  </w:num>
  <w:num w:numId="6" w16cid:durableId="1233003418">
    <w:abstractNumId w:val="26"/>
  </w:num>
  <w:num w:numId="7" w16cid:durableId="977301492">
    <w:abstractNumId w:val="40"/>
  </w:num>
  <w:num w:numId="8" w16cid:durableId="1465192075">
    <w:abstractNumId w:val="52"/>
  </w:num>
  <w:num w:numId="9" w16cid:durableId="1955479285">
    <w:abstractNumId w:val="24"/>
  </w:num>
  <w:num w:numId="10" w16cid:durableId="1501969743">
    <w:abstractNumId w:val="35"/>
  </w:num>
  <w:num w:numId="11" w16cid:durableId="1398433051">
    <w:abstractNumId w:val="28"/>
  </w:num>
  <w:num w:numId="12" w16cid:durableId="967778947">
    <w:abstractNumId w:val="47"/>
  </w:num>
  <w:num w:numId="13" w16cid:durableId="17049444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8"/>
  </w:num>
  <w:num w:numId="17" w16cid:durableId="8120209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9"/>
  </w:num>
  <w:num w:numId="19" w16cid:durableId="1165319742">
    <w:abstractNumId w:val="46"/>
  </w:num>
  <w:num w:numId="20" w16cid:durableId="1547909079">
    <w:abstractNumId w:val="25"/>
  </w:num>
  <w:num w:numId="21" w16cid:durableId="116100260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6831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8898507">
    <w:abstractNumId w:val="51"/>
  </w:num>
  <w:num w:numId="24" w16cid:durableId="1497644368">
    <w:abstractNumId w:val="34"/>
  </w:num>
  <w:num w:numId="25" w16cid:durableId="1789156475">
    <w:abstractNumId w:val="44"/>
  </w:num>
  <w:num w:numId="26" w16cid:durableId="1508060763">
    <w:abstractNumId w:val="0"/>
  </w:num>
  <w:num w:numId="27" w16cid:durableId="1608654035">
    <w:abstractNumId w:val="4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6749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FCB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5CDC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C3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C07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1F6B25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2DE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8D2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179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69B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CF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568"/>
    <w:rsid w:val="004101DF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81D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5A0"/>
    <w:rsid w:val="005766C2"/>
    <w:rsid w:val="00577F6A"/>
    <w:rsid w:val="00580357"/>
    <w:rsid w:val="00580676"/>
    <w:rsid w:val="005813CF"/>
    <w:rsid w:val="00583108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AD1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BA0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07993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881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2E20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8B2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0F15"/>
    <w:rsid w:val="00851E5A"/>
    <w:rsid w:val="008532D0"/>
    <w:rsid w:val="008538B4"/>
    <w:rsid w:val="008539A8"/>
    <w:rsid w:val="00854C66"/>
    <w:rsid w:val="008552CA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C45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0D0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01D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0E8D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E7906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B1A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DE9"/>
    <w:rsid w:val="00A65146"/>
    <w:rsid w:val="00A6668E"/>
    <w:rsid w:val="00A66880"/>
    <w:rsid w:val="00A66EE2"/>
    <w:rsid w:val="00A67003"/>
    <w:rsid w:val="00A67264"/>
    <w:rsid w:val="00A677A6"/>
    <w:rsid w:val="00A67DB2"/>
    <w:rsid w:val="00A7029E"/>
    <w:rsid w:val="00A7041B"/>
    <w:rsid w:val="00A70641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8A9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6F0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78A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4DAF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53D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060B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07FD9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1B03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5BD4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61A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EF9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D70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9D1B3FD4-FB0C-49FD-952D-5EDF7215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502DE"/>
    <w:rsid w:val="002751B2"/>
    <w:rsid w:val="00280E0F"/>
    <w:rsid w:val="002818D2"/>
    <w:rsid w:val="00282BAD"/>
    <w:rsid w:val="002B0099"/>
    <w:rsid w:val="002F4179"/>
    <w:rsid w:val="00364815"/>
    <w:rsid w:val="003953B7"/>
    <w:rsid w:val="003F2155"/>
    <w:rsid w:val="0040756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02E8"/>
    <w:rsid w:val="00901B91"/>
    <w:rsid w:val="00956D63"/>
    <w:rsid w:val="009723C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15</cp:revision>
  <cp:lastPrinted>2024-11-21T10:15:00Z</cp:lastPrinted>
  <dcterms:created xsi:type="dcterms:W3CDTF">2021-02-07T18:56:00Z</dcterms:created>
  <dcterms:modified xsi:type="dcterms:W3CDTF">2024-11-21T10:24:00Z</dcterms:modified>
</cp:coreProperties>
</file>